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7E64" w:rsidRDefault="00282695">
      <w:pPr>
        <w:rPr>
          <w:rFonts w:ascii="Times New Roman" w:eastAsia="Times New Roman" w:hAnsi="Times New Roman" w:cs="Times New Roman"/>
          <w:sz w:val="24"/>
          <w:szCs w:val="24"/>
        </w:rPr>
      </w:pPr>
      <w:r w:rsidRPr="002D428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4F619E" wp14:editId="7E60A8E3">
                <wp:simplePos x="0" y="0"/>
                <wp:positionH relativeFrom="column">
                  <wp:posOffset>-225425</wp:posOffset>
                </wp:positionH>
                <wp:positionV relativeFrom="paragraph">
                  <wp:posOffset>1092200</wp:posOffset>
                </wp:positionV>
                <wp:extent cx="7327900" cy="0"/>
                <wp:effectExtent l="57150" t="57150" r="44450" b="114300"/>
                <wp:wrapNone/>
                <wp:docPr id="10" name="Straight Connector 10"/>
                <wp:cNvGraphicFramePr/>
                <a:graphic xmlns:a="http://schemas.openxmlformats.org/drawingml/2006/main">
                  <a:graphicData uri="http://schemas.microsoft.com/office/word/2010/wordprocessingShape">
                    <wps:wsp>
                      <wps:cNvCnPr/>
                      <wps:spPr>
                        <a:xfrm>
                          <a:off x="0" y="0"/>
                          <a:ext cx="7327900" cy="0"/>
                        </a:xfrm>
                        <a:prstGeom prst="line">
                          <a:avLst/>
                        </a:prstGeom>
                        <a:noFill/>
                        <a:ln w="76200" cap="flat" cmpd="sng" algn="ctr">
                          <a:solidFill>
                            <a:srgbClr val="FFC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86pt" to="55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" strokecolor="#ffc000" strokeweight="6pt">
                <v:shadow on="t" color="black" opacity="22937f" origin=",.5" offset="0,.63889mm"/>
              </v:line>
            </w:pict>
          </mc:Fallback>
        </mc:AlternateContent>
      </w:r>
      <w:r>
        <w:rPr>
          <w:noProof/>
        </w:rPr>
        <mc:AlternateContent>
          <mc:Choice Requires="wps">
            <w:drawing>
              <wp:anchor distT="0" distB="0" distL="114300" distR="114300" simplePos="0" relativeHeight="251660288" behindDoc="0" locked="0" layoutInCell="1" allowOverlap="1" wp14:anchorId="00C86C9A" wp14:editId="23FB06A5">
                <wp:simplePos x="0" y="0"/>
                <wp:positionH relativeFrom="column">
                  <wp:posOffset>2695575</wp:posOffset>
                </wp:positionH>
                <wp:positionV relativeFrom="paragraph">
                  <wp:posOffset>0</wp:posOffset>
                </wp:positionV>
                <wp:extent cx="1914525" cy="952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9145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7BC8" w:rsidRPr="00FD4C3C" w:rsidRDefault="00FD4C3C" w:rsidP="0035788B">
                            <w:pPr>
                              <w:spacing w:after="0"/>
                              <w:jc w:val="center"/>
                              <w:rPr>
                                <w:rFonts w:ascii="Baskerville Old Face" w:hAnsi="Baskerville Old Face" w:cs="AngsanaUPC"/>
                                <w:b/>
                                <w:sz w:val="36"/>
                                <w:szCs w:val="36"/>
                              </w:rPr>
                            </w:pPr>
                            <w:r w:rsidRPr="00FD4C3C">
                              <w:rPr>
                                <w:rFonts w:ascii="Baskerville Old Face" w:hAnsi="Baskerville Old Face" w:cs="AngsanaUPC"/>
                                <w:b/>
                                <w:sz w:val="36"/>
                                <w:szCs w:val="36"/>
                              </w:rPr>
                              <w:t>FINANCIAL SERVICES</w:t>
                            </w:r>
                          </w:p>
                          <w:p w:rsidR="00107BC8" w:rsidRDefault="00107BC8" w:rsidP="00107BC8">
                            <w:pPr>
                              <w:spacing w:after="0"/>
                              <w:jc w:val="center"/>
                              <w:rPr>
                                <w:sz w:val="20"/>
                                <w:szCs w:val="20"/>
                              </w:rPr>
                            </w:pPr>
                            <w:r>
                              <w:rPr>
                                <w:sz w:val="20"/>
                                <w:szCs w:val="20"/>
                              </w:rPr>
                              <w:t>Located at</w:t>
                            </w:r>
                          </w:p>
                          <w:p w:rsidR="00107BC8" w:rsidRPr="0035788B" w:rsidRDefault="00107BC8" w:rsidP="00107BC8">
                            <w:pPr>
                              <w:spacing w:after="0"/>
                              <w:jc w:val="center"/>
                              <w:rPr>
                                <w:rFonts w:ascii="Century Gothic" w:hAnsi="Century Gothic" w:cs="Arial"/>
                                <w:b/>
                              </w:rPr>
                            </w:pPr>
                            <w:r w:rsidRPr="0035788B">
                              <w:rPr>
                                <w:rFonts w:ascii="Century Gothic" w:hAnsi="Century Gothic" w:cs="Arial"/>
                                <w:b/>
                              </w:rPr>
                              <w:t>Clackamas County Bank</w:t>
                            </w:r>
                          </w:p>
                          <w:p w:rsidR="00107BC8" w:rsidRPr="00107BC8" w:rsidRDefault="00107BC8" w:rsidP="00107BC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25pt;margin-top:0;width:150.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" fillcolor="white [3201]" stroked="f" strokeweight=".5pt">
                <v:textbox>
                  <w:txbxContent>
                    <w:p w:rsidR="00107BC8" w:rsidRPr="00FD4C3C" w:rsidRDefault="00FD4C3C" w:rsidP="0035788B">
                      <w:pPr>
                        <w:spacing w:after="0"/>
                        <w:jc w:val="center"/>
                        <w:rPr>
                          <w:rFonts w:ascii="Baskerville Old Face" w:hAnsi="Baskerville Old Face" w:cs="AngsanaUPC"/>
                          <w:b/>
                          <w:sz w:val="36"/>
                          <w:szCs w:val="36"/>
                        </w:rPr>
                      </w:pPr>
                      <w:r w:rsidRPr="00FD4C3C">
                        <w:rPr>
                          <w:rFonts w:ascii="Baskerville Old Face" w:hAnsi="Baskerville Old Face" w:cs="AngsanaUPC"/>
                          <w:b/>
                          <w:sz w:val="36"/>
                          <w:szCs w:val="36"/>
                        </w:rPr>
                        <w:t>FINANCIAL SERVICES</w:t>
                      </w:r>
                    </w:p>
                    <w:p w:rsidR="00107BC8" w:rsidRDefault="00107BC8" w:rsidP="00107BC8">
                      <w:pPr>
                        <w:spacing w:after="0"/>
                        <w:jc w:val="center"/>
                        <w:rPr>
                          <w:sz w:val="20"/>
                          <w:szCs w:val="20"/>
                        </w:rPr>
                      </w:pPr>
                      <w:r>
                        <w:rPr>
                          <w:sz w:val="20"/>
                          <w:szCs w:val="20"/>
                        </w:rPr>
                        <w:t>Located at</w:t>
                      </w:r>
                    </w:p>
                    <w:p w:rsidR="00107BC8" w:rsidRPr="0035788B" w:rsidRDefault="00107BC8" w:rsidP="00107BC8">
                      <w:pPr>
                        <w:spacing w:after="0"/>
                        <w:jc w:val="center"/>
                        <w:rPr>
                          <w:rFonts w:ascii="Century Gothic" w:hAnsi="Century Gothic" w:cs="Arial"/>
                          <w:b/>
                        </w:rPr>
                      </w:pPr>
                      <w:r w:rsidRPr="0035788B">
                        <w:rPr>
                          <w:rFonts w:ascii="Century Gothic" w:hAnsi="Century Gothic" w:cs="Arial"/>
                          <w:b/>
                        </w:rPr>
                        <w:t>Clackamas County Bank</w:t>
                      </w:r>
                    </w:p>
                    <w:p w:rsidR="00107BC8" w:rsidRPr="00107BC8" w:rsidRDefault="00107BC8" w:rsidP="00107BC8">
                      <w:pPr>
                        <w:jc w:val="center"/>
                        <w:rPr>
                          <w:sz w:val="20"/>
                          <w:szCs w:val="20"/>
                        </w:rPr>
                      </w:pPr>
                    </w:p>
                  </w:txbxContent>
                </v:textbox>
              </v:shape>
            </w:pict>
          </mc:Fallback>
        </mc:AlternateContent>
      </w:r>
      <w:r w:rsidR="00FD4C3C">
        <w:rPr>
          <w:noProof/>
        </w:rPr>
        <mc:AlternateContent>
          <mc:Choice Requires="wps">
            <w:drawing>
              <wp:anchor distT="0" distB="0" distL="114300" distR="114300" simplePos="0" relativeHeight="251663360" behindDoc="0" locked="0" layoutInCell="1" allowOverlap="1" wp14:anchorId="703AB258" wp14:editId="16D8CD79">
                <wp:simplePos x="0" y="0"/>
                <wp:positionH relativeFrom="column">
                  <wp:posOffset>5495924</wp:posOffset>
                </wp:positionH>
                <wp:positionV relativeFrom="paragraph">
                  <wp:posOffset>192405</wp:posOffset>
                </wp:positionV>
                <wp:extent cx="1266825" cy="619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2668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4C3C" w:rsidRPr="00FD4C3C" w:rsidRDefault="00FD4C3C" w:rsidP="00FD4C3C">
                            <w:pPr>
                              <w:spacing w:after="0"/>
                              <w:jc w:val="center"/>
                              <w:rPr>
                                <w:rFonts w:ascii="Palatino Linotype" w:hAnsi="Palatino Linotype"/>
                                <w:b/>
                              </w:rPr>
                            </w:pPr>
                            <w:r w:rsidRPr="00FD4C3C">
                              <w:rPr>
                                <w:rFonts w:ascii="Palatino Linotype" w:hAnsi="Palatino Linotype"/>
                                <w:b/>
                              </w:rPr>
                              <w:t>Semi Annual</w:t>
                            </w:r>
                          </w:p>
                          <w:p w:rsidR="00FD4C3C" w:rsidRPr="00FD4C3C" w:rsidRDefault="00FD4C3C" w:rsidP="00FD4C3C">
                            <w:pPr>
                              <w:spacing w:after="0"/>
                              <w:jc w:val="center"/>
                              <w:rPr>
                                <w:rFonts w:ascii="Palatino Linotype" w:hAnsi="Palatino Linotype"/>
                                <w:b/>
                              </w:rPr>
                            </w:pPr>
                            <w:r w:rsidRPr="00FD4C3C">
                              <w:rPr>
                                <w:rFonts w:ascii="Palatino Linotype" w:hAnsi="Palatino Linotype"/>
                                <w:b/>
                              </w:rPr>
                              <w:t>July, 2017</w:t>
                            </w:r>
                          </w:p>
                          <w:p w:rsidR="00FD4C3C" w:rsidRDefault="000828E8" w:rsidP="00FD4C3C">
                            <w:pPr>
                              <w:spacing w:after="0"/>
                              <w:jc w:val="center"/>
                              <w:rPr>
                                <w:rFonts w:ascii="Palatino Linotype" w:hAnsi="Palatino Linotype"/>
                              </w:rPr>
                            </w:pPr>
                            <w:r>
                              <w:rPr>
                                <w:rFonts w:ascii="Palatino Linotype" w:hAnsi="Palatino Linotype"/>
                                <w:b/>
                              </w:rPr>
                              <w:t>Vol. 10, Issue 1</w:t>
                            </w:r>
                          </w:p>
                          <w:p w:rsidR="00FD4C3C" w:rsidRPr="00FD4C3C" w:rsidRDefault="00FD4C3C" w:rsidP="00FD4C3C">
                            <w:pPr>
                              <w:spacing w:after="0"/>
                              <w:rPr>
                                <w:rFonts w:ascii="Palatino Linotype" w:hAnsi="Palatino Lino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7" type="#_x0000_t202" style="position:absolute;margin-left:432.75pt;margin-top:15.15pt;width:99.75pt;height:4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" fillcolor="white [3201]" stroked="f" strokeweight=".5pt">
                <v:textbox>
                  <w:txbxContent>
                    <w:p w:rsidR="00FD4C3C" w:rsidRPr="00FD4C3C" w:rsidRDefault="00FD4C3C" w:rsidP="00FD4C3C">
                      <w:pPr>
                        <w:spacing w:after="0"/>
                        <w:jc w:val="center"/>
                        <w:rPr>
                          <w:rFonts w:ascii="Palatino Linotype" w:hAnsi="Palatino Linotype"/>
                          <w:b/>
                        </w:rPr>
                      </w:pPr>
                      <w:r w:rsidRPr="00FD4C3C">
                        <w:rPr>
                          <w:rFonts w:ascii="Palatino Linotype" w:hAnsi="Palatino Linotype"/>
                          <w:b/>
                        </w:rPr>
                        <w:t>Semi Annual</w:t>
                      </w:r>
                    </w:p>
                    <w:p w:rsidR="00FD4C3C" w:rsidRPr="00FD4C3C" w:rsidRDefault="00FD4C3C" w:rsidP="00FD4C3C">
                      <w:pPr>
                        <w:spacing w:after="0"/>
                        <w:jc w:val="center"/>
                        <w:rPr>
                          <w:rFonts w:ascii="Palatino Linotype" w:hAnsi="Palatino Linotype"/>
                          <w:b/>
                        </w:rPr>
                      </w:pPr>
                      <w:r w:rsidRPr="00FD4C3C">
                        <w:rPr>
                          <w:rFonts w:ascii="Palatino Linotype" w:hAnsi="Palatino Linotype"/>
                          <w:b/>
                        </w:rPr>
                        <w:t>July, 2017</w:t>
                      </w:r>
                    </w:p>
                    <w:p w:rsidR="00FD4C3C" w:rsidRDefault="000828E8" w:rsidP="00FD4C3C">
                      <w:pPr>
                        <w:spacing w:after="0"/>
                        <w:jc w:val="center"/>
                        <w:rPr>
                          <w:rFonts w:ascii="Palatino Linotype" w:hAnsi="Palatino Linotype"/>
                        </w:rPr>
                      </w:pPr>
                      <w:r>
                        <w:rPr>
                          <w:rFonts w:ascii="Palatino Linotype" w:hAnsi="Palatino Linotype"/>
                          <w:b/>
                        </w:rPr>
                        <w:t>Vol. 10, Issue 1</w:t>
                      </w:r>
                    </w:p>
                    <w:p w:rsidR="00FD4C3C" w:rsidRPr="00FD4C3C" w:rsidRDefault="00FD4C3C" w:rsidP="00FD4C3C">
                      <w:pPr>
                        <w:spacing w:after="0"/>
                        <w:rPr>
                          <w:rFonts w:ascii="Palatino Linotype" w:hAnsi="Palatino Linotype"/>
                        </w:rPr>
                      </w:pPr>
                    </w:p>
                  </w:txbxContent>
                </v:textbox>
              </v:shape>
            </w:pict>
          </mc:Fallback>
        </mc:AlternateContent>
      </w:r>
      <w:r w:rsidR="002D4285">
        <w:t xml:space="preserve">                                                        </w:t>
      </w:r>
      <w:r w:rsidR="002D4285" w:rsidRPr="002D4285">
        <w:rPr>
          <w:rFonts w:ascii="Times New Roman" w:eastAsia="Times New Roman" w:hAnsi="Times New Roman" w:cs="Times New Roman"/>
          <w:sz w:val="24"/>
          <w:szCs w:val="24"/>
        </w:rPr>
        <w:object w:dxaOrig="7604" w:dyaOrig="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7.25pt" o:ole="">
            <v:imagedata r:id="rId8" o:title=""/>
          </v:shape>
          <o:OLEObject Type="Embed" ProgID="MSPhotoEd.3" ShapeID="_x0000_i1025" DrawAspect="Content" ObjectID="_1564301447" r:id="rId9"/>
        </w:object>
      </w:r>
    </w:p>
    <w:p w:rsidR="002D4285" w:rsidRDefault="008C3085">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4787D92" wp14:editId="7D762DB1">
                <wp:simplePos x="0" y="0"/>
                <wp:positionH relativeFrom="column">
                  <wp:posOffset>-57150</wp:posOffset>
                </wp:positionH>
                <wp:positionV relativeFrom="paragraph">
                  <wp:posOffset>114935</wp:posOffset>
                </wp:positionV>
                <wp:extent cx="69342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4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085" w:rsidRPr="004A75DE" w:rsidRDefault="00282695" w:rsidP="000828E8">
                            <w:pPr>
                              <w:spacing w:after="0"/>
                              <w:rPr>
                                <w:rFonts w:ascii="Lucida Fax" w:hAnsi="Lucida Fax"/>
                                <w:b/>
                                <w:sz w:val="28"/>
                                <w:szCs w:val="28"/>
                              </w:rPr>
                            </w:pPr>
                            <w:r w:rsidRPr="004A75DE">
                              <w:rPr>
                                <w:rFonts w:ascii="Lucida Fax" w:hAnsi="Lucida Fax"/>
                                <w:b/>
                                <w:sz w:val="28"/>
                                <w:szCs w:val="28"/>
                              </w:rPr>
                              <w:t>AS GOOD AS IT GETS</w:t>
                            </w:r>
                          </w:p>
                          <w:p w:rsidR="008C3085" w:rsidRDefault="008C3085">
                            <w:r>
                              <w:t>By Bob Rockwell, CFP</w:t>
                            </w:r>
                            <w:proofErr w:type="gramStart"/>
                            <w:r w:rsidR="00574859" w:rsidRPr="00574859">
                              <w:rPr>
                                <w:sz w:val="16"/>
                                <w:szCs w:val="16"/>
                              </w:rPr>
                              <w:t>®</w:t>
                            </w:r>
                            <w:r>
                              <w:t xml:space="preserve"> ,</w:t>
                            </w:r>
                            <w:proofErr w:type="gramEnd"/>
                            <w:r>
                              <w:t xml:space="preserve"> MS  </w:t>
                            </w:r>
                            <w:r w:rsidR="00574859">
                              <w:t>(</w:t>
                            </w:r>
                            <w:r>
                              <w:t>503</w:t>
                            </w:r>
                            <w:r w:rsidR="00574859">
                              <w:t>)</w:t>
                            </w:r>
                            <w:r>
                              <w:t xml:space="preserve">-668-2530 </w:t>
                            </w:r>
                            <w:r w:rsidR="00574859">
                              <w:t xml:space="preserve"> </w:t>
                            </w:r>
                            <w:r>
                              <w:t xml:space="preserve"> </w:t>
                            </w:r>
                            <w:hyperlink r:id="rId10" w:history="1">
                              <w:r w:rsidRPr="00576B13">
                                <w:rPr>
                                  <w:rStyle w:val="Hyperlink"/>
                                </w:rPr>
                                <w:t>www.ccbfinancialservices.com</w:t>
                              </w:r>
                            </w:hyperlink>
                            <w:r>
                              <w:t xml:space="preserve">  </w:t>
                            </w:r>
                            <w:r w:rsidR="00574859">
                              <w:t xml:space="preserve">   </w:t>
                            </w:r>
                            <w:r>
                              <w:t>38975 Proctor Blvd., Sandy, OR 97055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5pt;margin-top:9.05pt;width:546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" fillcolor="white [3201]" stroked="f" strokeweight=".5pt">
                <v:textbox>
                  <w:txbxContent>
                    <w:p w:rsidR="008C3085" w:rsidRPr="004A75DE" w:rsidRDefault="00282695" w:rsidP="000828E8">
                      <w:pPr>
                        <w:spacing w:after="0"/>
                        <w:rPr>
                          <w:rFonts w:ascii="Lucida Fax" w:hAnsi="Lucida Fax"/>
                          <w:b/>
                          <w:sz w:val="28"/>
                          <w:szCs w:val="28"/>
                        </w:rPr>
                      </w:pPr>
                      <w:r w:rsidRPr="004A75DE">
                        <w:rPr>
                          <w:rFonts w:ascii="Lucida Fax" w:hAnsi="Lucida Fax"/>
                          <w:b/>
                          <w:sz w:val="28"/>
                          <w:szCs w:val="28"/>
                        </w:rPr>
                        <w:t>AS GOOD AS IT GETS</w:t>
                      </w:r>
                    </w:p>
                    <w:p w:rsidR="008C3085" w:rsidRDefault="008C3085">
                      <w:r>
                        <w:t>By Bob Rockwell, CFP</w:t>
                      </w:r>
                      <w:proofErr w:type="gramStart"/>
                      <w:r w:rsidR="00574859" w:rsidRPr="00574859">
                        <w:rPr>
                          <w:sz w:val="16"/>
                          <w:szCs w:val="16"/>
                        </w:rPr>
                        <w:t>®</w:t>
                      </w:r>
                      <w:r>
                        <w:t xml:space="preserve"> ,</w:t>
                      </w:r>
                      <w:proofErr w:type="gramEnd"/>
                      <w:r>
                        <w:t xml:space="preserve"> MS  </w:t>
                      </w:r>
                      <w:r w:rsidR="00574859">
                        <w:t>(</w:t>
                      </w:r>
                      <w:r>
                        <w:t>503</w:t>
                      </w:r>
                      <w:r w:rsidR="00574859">
                        <w:t>)</w:t>
                      </w:r>
                      <w:r>
                        <w:t xml:space="preserve">-668-2530 </w:t>
                      </w:r>
                      <w:r w:rsidR="00574859">
                        <w:t xml:space="preserve"> </w:t>
                      </w:r>
                      <w:r>
                        <w:t xml:space="preserve"> </w:t>
                      </w:r>
                      <w:hyperlink r:id="rId11" w:history="1">
                        <w:r w:rsidRPr="00576B13">
                          <w:rPr>
                            <w:rStyle w:val="Hyperlink"/>
                          </w:rPr>
                          <w:t>www.ccbfinancialservices.com</w:t>
                        </w:r>
                      </w:hyperlink>
                      <w:r>
                        <w:t xml:space="preserve">  </w:t>
                      </w:r>
                      <w:r w:rsidR="00574859">
                        <w:t xml:space="preserve">   </w:t>
                      </w:r>
                      <w:r>
                        <w:t>38975 Proctor Blvd., Sandy, OR 97055</w:t>
                      </w:r>
                    </w:p>
                  </w:txbxContent>
                </v:textbox>
              </v:shape>
            </w:pict>
          </mc:Fallback>
        </mc:AlternateContent>
      </w:r>
      <w:r>
        <w:t xml:space="preserve">                                                                                                                                                                                                                                      </w:t>
      </w:r>
    </w:p>
    <w:p w:rsidR="008C3085" w:rsidRDefault="008C3085"/>
    <w:p w:rsidR="000828E8" w:rsidRDefault="000828E8" w:rsidP="00FA0B14">
      <w:pPr>
        <w:spacing w:after="0"/>
        <w:jc w:val="both"/>
      </w:pPr>
    </w:p>
    <w:p w:rsidR="007924B7" w:rsidRPr="00282695" w:rsidRDefault="007924B7" w:rsidP="00FA0B14">
      <w:pPr>
        <w:spacing w:after="0"/>
        <w:jc w:val="both"/>
        <w:rPr>
          <w:sz w:val="18"/>
          <w:szCs w:val="18"/>
        </w:rPr>
        <w:sectPr w:rsidR="007924B7" w:rsidRPr="00282695" w:rsidSect="00282695">
          <w:type w:val="continuous"/>
          <w:pgSz w:w="12240" w:h="15840"/>
          <w:pgMar w:top="720" w:right="720" w:bottom="720" w:left="720" w:header="720" w:footer="720" w:gutter="0"/>
          <w:cols w:space="720"/>
          <w:docGrid w:linePitch="360"/>
        </w:sectPr>
      </w:pPr>
    </w:p>
    <w:p w:rsidR="00FA0B14" w:rsidRPr="00696396" w:rsidRDefault="00C009BA" w:rsidP="00FA0B14">
      <w:pPr>
        <w:spacing w:after="0"/>
        <w:jc w:val="both"/>
        <w:rPr>
          <w:rFonts w:ascii="Arial Narrow" w:hAnsi="Arial Narrow"/>
        </w:rPr>
      </w:pPr>
      <w:r w:rsidRPr="00696396">
        <w:rPr>
          <w:rFonts w:ascii="Arial Narrow" w:hAnsi="Arial Narrow"/>
        </w:rPr>
        <w:lastRenderedPageBreak/>
        <w:t xml:space="preserve">   </w:t>
      </w:r>
      <w:r w:rsidR="00FB2AD7" w:rsidRPr="00696396">
        <w:rPr>
          <w:rFonts w:ascii="Arial Narrow" w:hAnsi="Arial Narrow"/>
        </w:rPr>
        <w:t xml:space="preserve"> </w:t>
      </w:r>
      <w:r w:rsidRPr="00696396">
        <w:rPr>
          <w:rFonts w:ascii="Arial Narrow" w:hAnsi="Arial Narrow"/>
        </w:rPr>
        <w:t xml:space="preserve"> </w:t>
      </w:r>
      <w:r w:rsidR="00FA0B14" w:rsidRPr="00696396">
        <w:rPr>
          <w:rFonts w:ascii="Arial Narrow" w:hAnsi="Arial Narrow"/>
        </w:rPr>
        <w:t xml:space="preserve">In writing my semi-annual newsletter, I try to share with you what I think are the most important developments that affect the economy and your investments.  One of my favorite resources is from the economist Fritz Meyer whose analysis I subscribe to.  The following is some information from his July 2017 webinar. </w:t>
      </w:r>
    </w:p>
    <w:p w:rsidR="00FA0B14" w:rsidRPr="00696396" w:rsidRDefault="00FA0B14" w:rsidP="00FA0B14">
      <w:pPr>
        <w:spacing w:after="0"/>
        <w:jc w:val="both"/>
        <w:rPr>
          <w:rFonts w:ascii="Arial Narrow" w:hAnsi="Arial Narrow"/>
        </w:rPr>
      </w:pPr>
      <w:r w:rsidRPr="00696396">
        <w:rPr>
          <w:rFonts w:ascii="Arial Narrow" w:hAnsi="Arial Narrow"/>
        </w:rPr>
        <w:t xml:space="preserve">      Many think the stock and bond markets have gone up too far for too long and we’re due for a correction or even a crash.  Fritz agrees that the stock market is on the high side but he says that we have a “Goldilocks Economy” and high valuations are deserved especially considering the alternatives.  He says our economy is operating at full potential with full employment and the economic data doesn’t get better than this.   Also the rest of the world is expanding simultaneously for a change.  Consumer spending is 70% of our economy, with consumer income up 3.5% and a saving rate of 5.5%; much higher than before the Great Recession. This bodes well for the largest part of our economy. Retail sales are up 3.7% year over year (YOY) even though department stores sales are declining, retailers like Amazon and Home Depot are growing strongly. Retail growth is not slowing it is just changing.  The Federal Reserve’s financial obligations ratio, which measures the average household</w:t>
      </w:r>
      <w:r w:rsidR="00051EC2">
        <w:rPr>
          <w:rFonts w:ascii="Arial Narrow" w:hAnsi="Arial Narrow"/>
        </w:rPr>
        <w:t>’</w:t>
      </w:r>
      <w:r w:rsidRPr="00696396">
        <w:rPr>
          <w:rFonts w:ascii="Arial Narrow" w:hAnsi="Arial Narrow"/>
        </w:rPr>
        <w:t xml:space="preserve">s fixed expenses, is at only 15.5% of income so consumers have plenty of money to spend if they want </w:t>
      </w:r>
      <w:r w:rsidRPr="00696396">
        <w:rPr>
          <w:rFonts w:ascii="Arial Narrow" w:hAnsi="Arial Narrow"/>
        </w:rPr>
        <w:lastRenderedPageBreak/>
        <w:t xml:space="preserve">to.  Real gross domestic product (GDP) growth is good at 2.1% YOY and 3.7% before inflation.   Nominal average hourly earnings are up 2.5% YOY with real earnings at all-time highs due to our low inflation rate.  Manufacturing jobs are declining due to automation but are being replaced by increased jobs in education, healthcare, professional, and business services which pay as well if not better.  </w:t>
      </w:r>
    </w:p>
    <w:p w:rsidR="00FA0B14" w:rsidRPr="00696396" w:rsidRDefault="00FA0B14" w:rsidP="00FA0B14">
      <w:pPr>
        <w:spacing w:after="0"/>
        <w:jc w:val="both"/>
        <w:rPr>
          <w:rFonts w:ascii="Arial Narrow" w:hAnsi="Arial Narrow"/>
        </w:rPr>
      </w:pPr>
      <w:r w:rsidRPr="00696396">
        <w:rPr>
          <w:rFonts w:ascii="Arial Narrow" w:hAnsi="Arial Narrow"/>
        </w:rPr>
        <w:t xml:space="preserve">     There are always people who are predicting a stock market crash.  If you listened to them you would have missed a 12% to 14% gain over the last year. The stock market is currently in the third longest expansion since the 50’s but that in </w:t>
      </w:r>
      <w:proofErr w:type="gramStart"/>
      <w:r w:rsidRPr="00696396">
        <w:rPr>
          <w:rFonts w:ascii="Arial Narrow" w:hAnsi="Arial Narrow"/>
        </w:rPr>
        <w:t>itself</w:t>
      </w:r>
      <w:proofErr w:type="gramEnd"/>
      <w:r w:rsidRPr="00696396">
        <w:rPr>
          <w:rFonts w:ascii="Arial Narrow" w:hAnsi="Arial Narrow"/>
        </w:rPr>
        <w:t xml:space="preserve"> doesn’t mean it must end soon.  Sure, the stock market cannot continue to provide returns like we have seen recently forever, but the stock market normally provides returns close to 10% over the long term including dividends.  This is comprised of 7.3% average growth in stock price plus 2.2% dividends which equals 9.5% total return.  Why is this so?  Well, the intrinsic value of a company is equal to its future earnings and since companies are growing their earnings at 7.3% then shouldn’t their stock price go up 7.3%? </w:t>
      </w:r>
    </w:p>
    <w:p w:rsidR="00696396" w:rsidRDefault="00FA0B14" w:rsidP="00FA0B14">
      <w:pPr>
        <w:spacing w:after="0"/>
        <w:jc w:val="both"/>
        <w:rPr>
          <w:rFonts w:ascii="Arial Narrow" w:hAnsi="Arial Narrow"/>
        </w:rPr>
      </w:pPr>
      <w:r w:rsidRPr="00696396">
        <w:rPr>
          <w:rFonts w:ascii="Arial Narrow" w:hAnsi="Arial Narrow"/>
        </w:rPr>
        <w:t xml:space="preserve">     Is the stock market going to crash soon?  There have been only 2 times that the stock market dropped 20% or more, 1963 and 1987, without a recession.  So you might ask: is a recession coming?  </w:t>
      </w:r>
      <w:proofErr w:type="gramStart"/>
      <w:r w:rsidRPr="00696396">
        <w:rPr>
          <w:rFonts w:ascii="Arial Narrow" w:hAnsi="Arial Narrow"/>
        </w:rPr>
        <w:t>Eventually yes, but there are no signs of a recession happening soon.</w:t>
      </w:r>
      <w:proofErr w:type="gramEnd"/>
      <w:r w:rsidRPr="00696396">
        <w:rPr>
          <w:rFonts w:ascii="Arial Narrow" w:hAnsi="Arial Narrow"/>
        </w:rPr>
        <w:t xml:space="preserve"> Growth in our economy is natural and we don’t </w:t>
      </w:r>
      <w:r w:rsidRPr="00696396">
        <w:rPr>
          <w:rFonts w:ascii="Arial Narrow" w:hAnsi="Arial Narrow"/>
        </w:rPr>
        <w:lastRenderedPageBreak/>
        <w:t>simply slip into a recession.  The Fed has caused every recession in modern times by raising short-term interest rates above long-term rates which means that banks can’t make more money by making loans.  I don’t think this happens unless inflation gets out of hand, and with inflation stubbornly below 2% I don’t think that is likely.  Speaking of inflation; the 10 year inflation protected US Treasury is yielding less than ½%.  This is unnatural.  Historically, investors have required 2% above inflation for locking up their money for 10 years.  Why are interest rates so low?  It’s because central banks around the world are keeping interest rates unnaturally low.  This is about to change as the world’s economies are finally growing in lockstep.  Central banks are indicating that unnaturally low interest rates are no longer needed.  So the US central bank (Fed) has indicated it will let long term interest rates like mortgages start rising in September and the European Union is indicating rising rates in the beginning of next year.  This is all unprecedented as we have never seen central banks stimulating their economies as they have since the Great Recession.  Can they unwind their stimulus without causing disruption?  What does all this mean to you?  The stock market appears to be the place to be long term, while the bond market appears more risky than normal.  Don’t hesitat</w:t>
      </w:r>
      <w:r w:rsidR="00696396">
        <w:rPr>
          <w:rFonts w:ascii="Arial Narrow" w:hAnsi="Arial Narrow"/>
        </w:rPr>
        <w:t>e to call me with any questions.</w:t>
      </w:r>
    </w:p>
    <w:p w:rsidR="00696396" w:rsidRPr="00696396" w:rsidRDefault="00CC0539" w:rsidP="00696396">
      <w:pPr>
        <w:spacing w:after="0"/>
        <w:rPr>
          <w:rFonts w:ascii="Arial Narrow" w:hAnsi="Arial Narrow"/>
        </w:rPr>
        <w:sectPr w:rsidR="00696396" w:rsidRPr="00696396" w:rsidSect="007924B7">
          <w:type w:val="continuous"/>
          <w:pgSz w:w="12240" w:h="15840"/>
          <w:pgMar w:top="432" w:right="720" w:bottom="720" w:left="720" w:header="720" w:footer="720" w:gutter="0"/>
          <w:cols w:num="3" w:space="720"/>
          <w:docGrid w:linePitch="360"/>
        </w:sectPr>
      </w:pPr>
      <w:r>
        <w:rPr>
          <w:rFonts w:ascii="Arial Narrow" w:hAnsi="Arial Narrow"/>
        </w:rPr>
        <w:t xml:space="preserve">Your Friend , </w:t>
      </w:r>
    </w:p>
    <w:p w:rsidR="00F41BD7" w:rsidRDefault="00282695">
      <w:r>
        <w:rPr>
          <w:noProof/>
        </w:rPr>
        <w:lastRenderedPageBreak/>
        <mc:AlternateContent>
          <mc:Choice Requires="wps">
            <w:drawing>
              <wp:anchor distT="0" distB="0" distL="114300" distR="114300" simplePos="0" relativeHeight="251662336" behindDoc="0" locked="0" layoutInCell="1" allowOverlap="1" wp14:anchorId="68E47CF1" wp14:editId="209A0770">
                <wp:simplePos x="0" y="0"/>
                <wp:positionH relativeFrom="column">
                  <wp:posOffset>-57150</wp:posOffset>
                </wp:positionH>
                <wp:positionV relativeFrom="paragraph">
                  <wp:posOffset>271145</wp:posOffset>
                </wp:positionV>
                <wp:extent cx="7086600" cy="666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70866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7693" w:rsidRDefault="00F67693" w:rsidP="00F67693">
                            <w:pPr>
                              <w:pStyle w:val="Default"/>
                              <w:jc w:val="center"/>
                              <w:rPr>
                                <w:sz w:val="20"/>
                                <w:szCs w:val="20"/>
                              </w:rPr>
                            </w:pPr>
                            <w:r>
                              <w:rPr>
                                <w:sz w:val="20"/>
                                <w:szCs w:val="20"/>
                              </w:rPr>
                              <w:t>This newsletter is for informational purposes only and should not be construed as individualized investment advice.</w:t>
                            </w:r>
                          </w:p>
                          <w:p w:rsidR="00F67693" w:rsidRDefault="00F67693" w:rsidP="00F67693">
                            <w:pPr>
                              <w:pStyle w:val="Default"/>
                              <w:jc w:val="center"/>
                              <w:rPr>
                                <w:sz w:val="20"/>
                                <w:szCs w:val="20"/>
                              </w:rPr>
                            </w:pPr>
                            <w:r>
                              <w:rPr>
                                <w:b/>
                                <w:bCs/>
                                <w:sz w:val="20"/>
                                <w:szCs w:val="20"/>
                              </w:rPr>
                              <w:t xml:space="preserve">Securities </w:t>
                            </w:r>
                            <w:r>
                              <w:rPr>
                                <w:sz w:val="20"/>
                                <w:szCs w:val="20"/>
                              </w:rPr>
                              <w:t xml:space="preserve">products offered are: </w:t>
                            </w:r>
                            <w:r>
                              <w:rPr>
                                <w:b/>
                                <w:bCs/>
                                <w:sz w:val="20"/>
                                <w:szCs w:val="20"/>
                              </w:rPr>
                              <w:t xml:space="preserve">NOT FDIC INSURED </w:t>
                            </w:r>
                            <w:r>
                              <w:rPr>
                                <w:rFonts w:ascii="Wingdings" w:hAnsi="Wingdings" w:cs="Wingdings"/>
                                <w:sz w:val="20"/>
                                <w:szCs w:val="20"/>
                              </w:rPr>
                              <w:t></w:t>
                            </w:r>
                            <w:r>
                              <w:rPr>
                                <w:rFonts w:ascii="Wingdings" w:hAnsi="Wingdings" w:cs="Wingdings"/>
                                <w:sz w:val="20"/>
                                <w:szCs w:val="20"/>
                              </w:rPr>
                              <w:t></w:t>
                            </w:r>
                            <w:r>
                              <w:rPr>
                                <w:b/>
                                <w:bCs/>
                                <w:sz w:val="20"/>
                                <w:szCs w:val="20"/>
                              </w:rPr>
                              <w:t xml:space="preserve">MAY LOSE VALUE </w:t>
                            </w:r>
                            <w:r>
                              <w:rPr>
                                <w:rFonts w:ascii="Wingdings" w:hAnsi="Wingdings" w:cs="Wingdings"/>
                                <w:sz w:val="20"/>
                                <w:szCs w:val="20"/>
                              </w:rPr>
                              <w:t></w:t>
                            </w:r>
                            <w:r>
                              <w:rPr>
                                <w:rFonts w:ascii="Wingdings" w:hAnsi="Wingdings" w:cs="Wingdings"/>
                                <w:sz w:val="20"/>
                                <w:szCs w:val="20"/>
                              </w:rPr>
                              <w:t></w:t>
                            </w:r>
                            <w:r>
                              <w:rPr>
                                <w:b/>
                                <w:bCs/>
                                <w:sz w:val="20"/>
                                <w:szCs w:val="20"/>
                              </w:rPr>
                              <w:t>NO BANK GUARANTEE</w:t>
                            </w:r>
                          </w:p>
                          <w:p w:rsidR="00F67693" w:rsidRPr="00D57B5B" w:rsidRDefault="00F67693" w:rsidP="00F67693">
                            <w:pPr>
                              <w:jc w:val="center"/>
                              <w:rPr>
                                <w:sz w:val="18"/>
                                <w:szCs w:val="18"/>
                              </w:rPr>
                            </w:pPr>
                            <w:r w:rsidRPr="00D57B5B">
                              <w:rPr>
                                <w:sz w:val="18"/>
                                <w:szCs w:val="18"/>
                              </w:rPr>
                              <w:t xml:space="preserve">Securities offered thru Cambridge Investment Research, Inc. Member FINRA/SIPC, Advisory Services offered thru Cambridge Investment Research Advisors </w:t>
                            </w:r>
                            <w:proofErr w:type="spellStart"/>
                            <w:r w:rsidRPr="00D57B5B">
                              <w:rPr>
                                <w:sz w:val="18"/>
                                <w:szCs w:val="18"/>
                              </w:rPr>
                              <w:t>Inc</w:t>
                            </w:r>
                            <w:proofErr w:type="spellEnd"/>
                            <w:r w:rsidRPr="00D57B5B">
                              <w:rPr>
                                <w:sz w:val="18"/>
                                <w:szCs w:val="18"/>
                              </w:rPr>
                              <w:t>, a Registered Investment Advisor. Cambridge is not affiliated with CCB Financial Services or Clackamas County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5pt;margin-top:21.35pt;width:558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" fillcolor="white [3201]" strokeweight=".5pt">
                <v:textbox>
                  <w:txbxContent>
                    <w:p w:rsidR="00F67693" w:rsidRDefault="00F67693" w:rsidP="00F67693">
                      <w:pPr>
                        <w:pStyle w:val="Default"/>
                        <w:jc w:val="center"/>
                        <w:rPr>
                          <w:sz w:val="20"/>
                          <w:szCs w:val="20"/>
                        </w:rPr>
                      </w:pPr>
                      <w:r>
                        <w:rPr>
                          <w:sz w:val="20"/>
                          <w:szCs w:val="20"/>
                        </w:rPr>
                        <w:t>This newsletter is for informational purposes only and should not be construed as individualized investment advice.</w:t>
                      </w:r>
                    </w:p>
                    <w:p w:rsidR="00F67693" w:rsidRDefault="00F67693" w:rsidP="00F67693">
                      <w:pPr>
                        <w:pStyle w:val="Default"/>
                        <w:jc w:val="center"/>
                        <w:rPr>
                          <w:sz w:val="20"/>
                          <w:szCs w:val="20"/>
                        </w:rPr>
                      </w:pPr>
                      <w:r>
                        <w:rPr>
                          <w:b/>
                          <w:bCs/>
                          <w:sz w:val="20"/>
                          <w:szCs w:val="20"/>
                        </w:rPr>
                        <w:t xml:space="preserve">Securities </w:t>
                      </w:r>
                      <w:r>
                        <w:rPr>
                          <w:sz w:val="20"/>
                          <w:szCs w:val="20"/>
                        </w:rPr>
                        <w:t xml:space="preserve">products offered are: </w:t>
                      </w:r>
                      <w:r>
                        <w:rPr>
                          <w:b/>
                          <w:bCs/>
                          <w:sz w:val="20"/>
                          <w:szCs w:val="20"/>
                        </w:rPr>
                        <w:t xml:space="preserve">NOT FDIC INSURED </w:t>
                      </w:r>
                      <w:r>
                        <w:rPr>
                          <w:rFonts w:ascii="Wingdings" w:hAnsi="Wingdings" w:cs="Wingdings"/>
                          <w:sz w:val="20"/>
                          <w:szCs w:val="20"/>
                        </w:rPr>
                        <w:t></w:t>
                      </w:r>
                      <w:r>
                        <w:rPr>
                          <w:rFonts w:ascii="Wingdings" w:hAnsi="Wingdings" w:cs="Wingdings"/>
                          <w:sz w:val="20"/>
                          <w:szCs w:val="20"/>
                        </w:rPr>
                        <w:t></w:t>
                      </w:r>
                      <w:r>
                        <w:rPr>
                          <w:b/>
                          <w:bCs/>
                          <w:sz w:val="20"/>
                          <w:szCs w:val="20"/>
                        </w:rPr>
                        <w:t xml:space="preserve">MAY LOSE VALUE </w:t>
                      </w:r>
                      <w:r>
                        <w:rPr>
                          <w:rFonts w:ascii="Wingdings" w:hAnsi="Wingdings" w:cs="Wingdings"/>
                          <w:sz w:val="20"/>
                          <w:szCs w:val="20"/>
                        </w:rPr>
                        <w:t></w:t>
                      </w:r>
                      <w:r>
                        <w:rPr>
                          <w:rFonts w:ascii="Wingdings" w:hAnsi="Wingdings" w:cs="Wingdings"/>
                          <w:sz w:val="20"/>
                          <w:szCs w:val="20"/>
                        </w:rPr>
                        <w:t></w:t>
                      </w:r>
                      <w:r>
                        <w:rPr>
                          <w:b/>
                          <w:bCs/>
                          <w:sz w:val="20"/>
                          <w:szCs w:val="20"/>
                        </w:rPr>
                        <w:t>NO BANK GUARANTEE</w:t>
                      </w:r>
                    </w:p>
                    <w:p w:rsidR="00F67693" w:rsidRPr="00D57B5B" w:rsidRDefault="00F67693" w:rsidP="00F67693">
                      <w:pPr>
                        <w:jc w:val="center"/>
                        <w:rPr>
                          <w:sz w:val="18"/>
                          <w:szCs w:val="18"/>
                        </w:rPr>
                      </w:pPr>
                      <w:r w:rsidRPr="00D57B5B">
                        <w:rPr>
                          <w:sz w:val="18"/>
                          <w:szCs w:val="18"/>
                        </w:rPr>
                        <w:t xml:space="preserve">Securities offered thru Cambridge Investment Research, Inc. Member FINRA/SIPC, Advisory Services offered thru Cambridge Investment Research Advisors </w:t>
                      </w:r>
                      <w:proofErr w:type="spellStart"/>
                      <w:r w:rsidRPr="00D57B5B">
                        <w:rPr>
                          <w:sz w:val="18"/>
                          <w:szCs w:val="18"/>
                        </w:rPr>
                        <w:t>Inc</w:t>
                      </w:r>
                      <w:proofErr w:type="spellEnd"/>
                      <w:r w:rsidRPr="00D57B5B">
                        <w:rPr>
                          <w:sz w:val="18"/>
                          <w:szCs w:val="18"/>
                        </w:rPr>
                        <w:t>, a Registered Investment Advisor. Cambridge is not affiliated with CCB Financial Services or Clackamas County Bank.</w:t>
                      </w:r>
                    </w:p>
                  </w:txbxContent>
                </v:textbox>
              </v:shape>
            </w:pict>
          </mc:Fallback>
        </mc:AlternateContent>
      </w:r>
      <w:r w:rsidR="00696396" w:rsidRPr="00696396">
        <w:rPr>
          <w:rFonts w:ascii="Arial Narrow" w:hAnsi="Arial Narrow"/>
          <w:noProof/>
        </w:rPr>
        <mc:AlternateContent>
          <mc:Choice Requires="wps">
            <w:drawing>
              <wp:anchor distT="0" distB="0" distL="114300" distR="114300" simplePos="0" relativeHeight="251664384" behindDoc="0" locked="0" layoutInCell="1" allowOverlap="1" wp14:anchorId="35D8A190" wp14:editId="52BAF20B">
                <wp:simplePos x="0" y="0"/>
                <wp:positionH relativeFrom="column">
                  <wp:posOffset>-161925</wp:posOffset>
                </wp:positionH>
                <wp:positionV relativeFrom="paragraph">
                  <wp:posOffset>82550</wp:posOffset>
                </wp:positionV>
                <wp:extent cx="7327900" cy="1905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73279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1986" w:rsidRPr="00A81986" w:rsidRDefault="00A81986" w:rsidP="00A81986">
                            <w:pPr>
                              <w:spacing w:after="0"/>
                              <w:rPr>
                                <w:rFonts w:ascii="Times New Roman" w:eastAsia="Times New Roman" w:hAnsi="Times New Roman" w:cs="Times New Roman"/>
                                <w:sz w:val="16"/>
                                <w:szCs w:val="16"/>
                              </w:rPr>
                            </w:pPr>
                            <w:r w:rsidRPr="00A81986">
                              <w:rPr>
                                <w:rFonts w:ascii="Times New Roman" w:eastAsia="Times New Roman" w:hAnsi="Times New Roman" w:cs="Times New Roman"/>
                                <w:sz w:val="16"/>
                                <w:szCs w:val="16"/>
                              </w:rPr>
                              <w:t>*Indices mentioned are unmanaged and cannot be invested into directly.  Past performance is not a guarantee of future results.</w:t>
                            </w:r>
                          </w:p>
                          <w:p w:rsidR="00A81986" w:rsidRDefault="00A819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12.75pt;margin-top:6.5pt;width:577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" fillcolor="white [3201]" stroked="f" strokeweight=".5pt">
                <v:textbox>
                  <w:txbxContent>
                    <w:p w:rsidR="00A81986" w:rsidRPr="00A81986" w:rsidRDefault="00A81986" w:rsidP="00A81986">
                      <w:pPr>
                        <w:spacing w:after="0"/>
                        <w:rPr>
                          <w:rFonts w:ascii="Times New Roman" w:eastAsia="Times New Roman" w:hAnsi="Times New Roman" w:cs="Times New Roman"/>
                          <w:sz w:val="16"/>
                          <w:szCs w:val="16"/>
                        </w:rPr>
                      </w:pPr>
                      <w:r w:rsidRPr="00A81986">
                        <w:rPr>
                          <w:rFonts w:ascii="Times New Roman" w:eastAsia="Times New Roman" w:hAnsi="Times New Roman" w:cs="Times New Roman"/>
                          <w:sz w:val="16"/>
                          <w:szCs w:val="16"/>
                        </w:rPr>
                        <w:t>*Indices mentioned are unmanaged and cannot be invested into directly.  Past performance is not a guarantee of future results.</w:t>
                      </w:r>
                    </w:p>
                    <w:p w:rsidR="00A81986" w:rsidRDefault="00A81986"/>
                  </w:txbxContent>
                </v:textbox>
              </v:shape>
            </w:pict>
          </mc:Fallback>
        </mc:AlternateContent>
      </w:r>
    </w:p>
    <w:sectPr w:rsidR="00F41BD7" w:rsidSect="00F41BD7">
      <w:type w:val="continuous"/>
      <w:pgSz w:w="12240" w:h="15840"/>
      <w:pgMar w:top="720" w:right="720" w:bottom="216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2F" w:rsidRDefault="0098632F" w:rsidP="001A6FA2">
      <w:pPr>
        <w:spacing w:after="0"/>
      </w:pPr>
      <w:r>
        <w:separator/>
      </w:r>
    </w:p>
  </w:endnote>
  <w:endnote w:type="continuationSeparator" w:id="0">
    <w:p w:rsidR="0098632F" w:rsidRDefault="0098632F" w:rsidP="001A6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Fax">
    <w:panose1 w:val="02060602050505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2F" w:rsidRDefault="0098632F" w:rsidP="001A6FA2">
      <w:pPr>
        <w:spacing w:after="0"/>
      </w:pPr>
      <w:r>
        <w:separator/>
      </w:r>
    </w:p>
  </w:footnote>
  <w:footnote w:type="continuationSeparator" w:id="0">
    <w:p w:rsidR="0098632F" w:rsidRDefault="0098632F" w:rsidP="001A6F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85"/>
    <w:rsid w:val="000301A1"/>
    <w:rsid w:val="0004147E"/>
    <w:rsid w:val="00051EC2"/>
    <w:rsid w:val="00054006"/>
    <w:rsid w:val="000828E8"/>
    <w:rsid w:val="00107BC8"/>
    <w:rsid w:val="001542D7"/>
    <w:rsid w:val="001A6FA2"/>
    <w:rsid w:val="002622A5"/>
    <w:rsid w:val="00282695"/>
    <w:rsid w:val="00287E64"/>
    <w:rsid w:val="002A4D15"/>
    <w:rsid w:val="002D4285"/>
    <w:rsid w:val="0035788B"/>
    <w:rsid w:val="003A62FD"/>
    <w:rsid w:val="004A75DE"/>
    <w:rsid w:val="00574859"/>
    <w:rsid w:val="005A2937"/>
    <w:rsid w:val="00644F4C"/>
    <w:rsid w:val="00696396"/>
    <w:rsid w:val="006C43FB"/>
    <w:rsid w:val="006F3A58"/>
    <w:rsid w:val="0073264B"/>
    <w:rsid w:val="007924B7"/>
    <w:rsid w:val="007A5C54"/>
    <w:rsid w:val="0082564C"/>
    <w:rsid w:val="008C0729"/>
    <w:rsid w:val="008C3085"/>
    <w:rsid w:val="009713DC"/>
    <w:rsid w:val="0098632F"/>
    <w:rsid w:val="00A81986"/>
    <w:rsid w:val="00AF40D3"/>
    <w:rsid w:val="00B200FA"/>
    <w:rsid w:val="00B67EA0"/>
    <w:rsid w:val="00BB30EF"/>
    <w:rsid w:val="00C009BA"/>
    <w:rsid w:val="00CC0539"/>
    <w:rsid w:val="00D40CB3"/>
    <w:rsid w:val="00D57B5B"/>
    <w:rsid w:val="00D7402D"/>
    <w:rsid w:val="00DD31F9"/>
    <w:rsid w:val="00E5563C"/>
    <w:rsid w:val="00E720DA"/>
    <w:rsid w:val="00F41BD7"/>
    <w:rsid w:val="00F67693"/>
    <w:rsid w:val="00FA0B14"/>
    <w:rsid w:val="00FA2367"/>
    <w:rsid w:val="00FB2AD7"/>
    <w:rsid w:val="00FD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085"/>
    <w:rPr>
      <w:color w:val="0000FF" w:themeColor="hyperlink"/>
      <w:u w:val="single"/>
    </w:rPr>
  </w:style>
  <w:style w:type="paragraph" w:styleId="FootnoteText">
    <w:name w:val="footnote text"/>
    <w:basedOn w:val="Normal"/>
    <w:link w:val="FootnoteTextChar"/>
    <w:uiPriority w:val="99"/>
    <w:semiHidden/>
    <w:unhideWhenUsed/>
    <w:rsid w:val="001A6FA2"/>
    <w:pPr>
      <w:spacing w:after="0"/>
    </w:pPr>
    <w:rPr>
      <w:sz w:val="20"/>
      <w:szCs w:val="20"/>
    </w:rPr>
  </w:style>
  <w:style w:type="character" w:customStyle="1" w:styleId="FootnoteTextChar">
    <w:name w:val="Footnote Text Char"/>
    <w:basedOn w:val="DefaultParagraphFont"/>
    <w:link w:val="FootnoteText"/>
    <w:uiPriority w:val="99"/>
    <w:semiHidden/>
    <w:rsid w:val="001A6FA2"/>
    <w:rPr>
      <w:sz w:val="20"/>
      <w:szCs w:val="20"/>
    </w:rPr>
  </w:style>
  <w:style w:type="character" w:styleId="FootnoteReference">
    <w:name w:val="footnote reference"/>
    <w:basedOn w:val="DefaultParagraphFont"/>
    <w:uiPriority w:val="99"/>
    <w:semiHidden/>
    <w:unhideWhenUsed/>
    <w:rsid w:val="001A6FA2"/>
    <w:rPr>
      <w:vertAlign w:val="superscript"/>
    </w:rPr>
  </w:style>
  <w:style w:type="paragraph" w:styleId="BalloonText">
    <w:name w:val="Balloon Text"/>
    <w:basedOn w:val="Normal"/>
    <w:link w:val="BalloonTextChar"/>
    <w:uiPriority w:val="99"/>
    <w:semiHidden/>
    <w:unhideWhenUsed/>
    <w:rsid w:val="007A5C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54"/>
    <w:rPr>
      <w:rFonts w:ascii="Tahoma" w:hAnsi="Tahoma" w:cs="Tahoma"/>
      <w:sz w:val="16"/>
      <w:szCs w:val="16"/>
    </w:rPr>
  </w:style>
  <w:style w:type="paragraph" w:customStyle="1" w:styleId="Default">
    <w:name w:val="Default"/>
    <w:rsid w:val="00F67693"/>
    <w:pPr>
      <w:autoSpaceDE w:val="0"/>
      <w:autoSpaceDN w:val="0"/>
      <w:adjustRightInd w:val="0"/>
      <w:spacing w:after="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085"/>
    <w:rPr>
      <w:color w:val="0000FF" w:themeColor="hyperlink"/>
      <w:u w:val="single"/>
    </w:rPr>
  </w:style>
  <w:style w:type="paragraph" w:styleId="FootnoteText">
    <w:name w:val="footnote text"/>
    <w:basedOn w:val="Normal"/>
    <w:link w:val="FootnoteTextChar"/>
    <w:uiPriority w:val="99"/>
    <w:semiHidden/>
    <w:unhideWhenUsed/>
    <w:rsid w:val="001A6FA2"/>
    <w:pPr>
      <w:spacing w:after="0"/>
    </w:pPr>
    <w:rPr>
      <w:sz w:val="20"/>
      <w:szCs w:val="20"/>
    </w:rPr>
  </w:style>
  <w:style w:type="character" w:customStyle="1" w:styleId="FootnoteTextChar">
    <w:name w:val="Footnote Text Char"/>
    <w:basedOn w:val="DefaultParagraphFont"/>
    <w:link w:val="FootnoteText"/>
    <w:uiPriority w:val="99"/>
    <w:semiHidden/>
    <w:rsid w:val="001A6FA2"/>
    <w:rPr>
      <w:sz w:val="20"/>
      <w:szCs w:val="20"/>
    </w:rPr>
  </w:style>
  <w:style w:type="character" w:styleId="FootnoteReference">
    <w:name w:val="footnote reference"/>
    <w:basedOn w:val="DefaultParagraphFont"/>
    <w:uiPriority w:val="99"/>
    <w:semiHidden/>
    <w:unhideWhenUsed/>
    <w:rsid w:val="001A6FA2"/>
    <w:rPr>
      <w:vertAlign w:val="superscript"/>
    </w:rPr>
  </w:style>
  <w:style w:type="paragraph" w:styleId="BalloonText">
    <w:name w:val="Balloon Text"/>
    <w:basedOn w:val="Normal"/>
    <w:link w:val="BalloonTextChar"/>
    <w:uiPriority w:val="99"/>
    <w:semiHidden/>
    <w:unhideWhenUsed/>
    <w:rsid w:val="007A5C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54"/>
    <w:rPr>
      <w:rFonts w:ascii="Tahoma" w:hAnsi="Tahoma" w:cs="Tahoma"/>
      <w:sz w:val="16"/>
      <w:szCs w:val="16"/>
    </w:rPr>
  </w:style>
  <w:style w:type="paragraph" w:customStyle="1" w:styleId="Default">
    <w:name w:val="Default"/>
    <w:rsid w:val="00F67693"/>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bfinancialservices.com" TargetMode="External"/><Relationship Id="rId5" Type="http://schemas.openxmlformats.org/officeDocument/2006/relationships/webSettings" Target="webSettings.xml"/><Relationship Id="rId10" Type="http://schemas.openxmlformats.org/officeDocument/2006/relationships/hyperlink" Target="http://www.ccbfinancialservices.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FF34-CB2D-4536-8DC7-0898D300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Sommers</dc:creator>
  <cp:lastModifiedBy>Janine Sommers</cp:lastModifiedBy>
  <cp:revision>2</cp:revision>
  <cp:lastPrinted>2017-08-07T15:53:00Z</cp:lastPrinted>
  <dcterms:created xsi:type="dcterms:W3CDTF">2017-08-15T18:24:00Z</dcterms:created>
  <dcterms:modified xsi:type="dcterms:W3CDTF">2017-08-15T18:24:00Z</dcterms:modified>
</cp:coreProperties>
</file>